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3D" w:rsidRDefault="002F4839" w:rsidP="00EA3C3D">
      <w:pPr>
        <w:spacing w:line="360" w:lineRule="auto"/>
        <w:ind w:firstLine="851"/>
        <w:rPr>
          <w:rFonts w:ascii="Times New Roman" w:hAnsi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/>
          <w:b/>
          <w:bCs/>
          <w:sz w:val="28"/>
          <w:szCs w:val="28"/>
          <w:lang w:val="bg-BG"/>
        </w:rPr>
        <w:tab/>
        <w:t>Приложение № 2.</w:t>
      </w:r>
      <w:r w:rsidR="00843DE0">
        <w:rPr>
          <w:rFonts w:ascii="Times New Roman" w:hAnsi="Times New Roman"/>
          <w:b/>
          <w:bCs/>
          <w:sz w:val="28"/>
          <w:szCs w:val="28"/>
          <w:lang w:val="bg-BG"/>
        </w:rPr>
        <w:t>1</w:t>
      </w:r>
    </w:p>
    <w:p w:rsidR="00843DE0" w:rsidRDefault="00843DE0" w:rsidP="00EA3C3D">
      <w:pPr>
        <w:spacing w:line="360" w:lineRule="auto"/>
        <w:ind w:firstLine="851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EA3C3D" w:rsidRPr="00EA3C3D" w:rsidRDefault="00EA3C3D" w:rsidP="00EA3C3D">
      <w:pPr>
        <w:spacing w:after="200" w:line="276" w:lineRule="auto"/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val="bg-BG" w:eastAsia="en-US"/>
        </w:rPr>
      </w:pPr>
      <w:r w:rsidRPr="00EA3C3D">
        <w:rPr>
          <w:rFonts w:ascii="Times New Roman" w:eastAsiaTheme="minorHAnsi" w:hAnsi="Times New Roman"/>
          <w:b/>
          <w:sz w:val="28"/>
          <w:szCs w:val="28"/>
          <w:lang w:val="bg-BG" w:eastAsia="en-US"/>
        </w:rPr>
        <w:t>ТЕХНИЧЕСКА СПЕЦИФИКАЦИЯ</w:t>
      </w:r>
    </w:p>
    <w:p w:rsidR="00EA3C3D" w:rsidRPr="00EA3C3D" w:rsidRDefault="00EA3C3D" w:rsidP="00EA3C3D">
      <w:pPr>
        <w:spacing w:after="200" w:line="276" w:lineRule="auto"/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val="bg-BG" w:eastAsia="en-US"/>
        </w:rPr>
      </w:pPr>
      <w:r w:rsidRPr="00EA3C3D">
        <w:rPr>
          <w:rFonts w:ascii="Times New Roman" w:eastAsiaTheme="minorHAnsi" w:hAnsi="Times New Roman"/>
          <w:b/>
          <w:sz w:val="28"/>
          <w:szCs w:val="28"/>
          <w:lang w:val="bg-BG" w:eastAsia="en-US"/>
        </w:rPr>
        <w:t>за</w:t>
      </w:r>
    </w:p>
    <w:p w:rsidR="00EA3C3D" w:rsidRPr="00214191" w:rsidRDefault="00EA3C3D" w:rsidP="00EA3C3D">
      <w:pPr>
        <w:spacing w:line="240" w:lineRule="auto"/>
        <w:ind w:firstLine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bg-BG"/>
        </w:rPr>
        <w:t xml:space="preserve">строеж </w:t>
      </w:r>
      <w:r w:rsidR="00214191">
        <w:rPr>
          <w:rFonts w:ascii="Times New Roman" w:hAnsi="Times New Roman"/>
          <w:sz w:val="28"/>
          <w:szCs w:val="24"/>
        </w:rPr>
        <w:t>“</w:t>
      </w:r>
      <w:r w:rsidRPr="00EA3C3D">
        <w:rPr>
          <w:rFonts w:ascii="Times New Roman" w:hAnsi="Times New Roman"/>
          <w:sz w:val="28"/>
          <w:szCs w:val="24"/>
          <w:lang w:val="bg-BG"/>
        </w:rPr>
        <w:t>СМР-текущ ремонт на кабинети, зали и коридори в сград</w:t>
      </w:r>
      <w:r w:rsidR="005455E5">
        <w:rPr>
          <w:rFonts w:ascii="Times New Roman" w:hAnsi="Times New Roman"/>
          <w:sz w:val="28"/>
          <w:szCs w:val="24"/>
          <w:lang w:val="bg-BG"/>
        </w:rPr>
        <w:t>и</w:t>
      </w:r>
      <w:r w:rsidRPr="00EA3C3D">
        <w:rPr>
          <w:rFonts w:ascii="Times New Roman" w:hAnsi="Times New Roman"/>
          <w:sz w:val="28"/>
          <w:szCs w:val="24"/>
          <w:lang w:val="bg-BG"/>
        </w:rPr>
        <w:t>т</w:t>
      </w:r>
      <w:r w:rsidR="005455E5">
        <w:rPr>
          <w:rFonts w:ascii="Times New Roman" w:hAnsi="Times New Roman"/>
          <w:sz w:val="28"/>
          <w:szCs w:val="24"/>
          <w:lang w:val="bg-BG"/>
        </w:rPr>
        <w:t>е</w:t>
      </w:r>
      <w:r w:rsidRPr="00EA3C3D">
        <w:rPr>
          <w:rFonts w:ascii="Times New Roman" w:hAnsi="Times New Roman"/>
          <w:sz w:val="28"/>
          <w:szCs w:val="24"/>
          <w:lang w:val="bg-BG"/>
        </w:rPr>
        <w:t xml:space="preserve"> на Народното събрание</w:t>
      </w:r>
      <w:r w:rsidR="00214191">
        <w:rPr>
          <w:rFonts w:ascii="Times New Roman" w:hAnsi="Times New Roman"/>
          <w:sz w:val="28"/>
          <w:szCs w:val="24"/>
        </w:rPr>
        <w:t>”</w:t>
      </w:r>
    </w:p>
    <w:p w:rsidR="00EA3C3D" w:rsidRPr="00EA3C3D" w:rsidRDefault="00EA3C3D" w:rsidP="00EA3C3D">
      <w:pPr>
        <w:spacing w:after="200" w:line="276" w:lineRule="auto"/>
        <w:ind w:firstLine="0"/>
        <w:jc w:val="left"/>
        <w:rPr>
          <w:rFonts w:ascii="Times New Roman" w:eastAsiaTheme="minorHAnsi" w:hAnsi="Times New Roman"/>
          <w:sz w:val="32"/>
          <w:szCs w:val="32"/>
          <w:lang w:val="bg-BG" w:eastAsia="en-US"/>
        </w:rPr>
      </w:pPr>
    </w:p>
    <w:p w:rsidR="00EA3C3D" w:rsidRDefault="00EA3C3D" w:rsidP="00EA3C3D">
      <w:pPr>
        <w:spacing w:after="200" w:line="276" w:lineRule="auto"/>
        <w:contextualSpacing/>
        <w:rPr>
          <w:rFonts w:ascii="Times New Roman" w:eastAsiaTheme="minorHAnsi" w:hAnsi="Times New Roman"/>
          <w:b/>
          <w:sz w:val="24"/>
          <w:szCs w:val="24"/>
          <w:lang w:val="bg-BG" w:eastAsia="en-US"/>
        </w:rPr>
      </w:pPr>
      <w:r w:rsidRPr="00EA3C3D">
        <w:rPr>
          <w:rFonts w:ascii="Times New Roman" w:eastAsiaTheme="minorHAnsi" w:hAnsi="Times New Roman"/>
          <w:b/>
          <w:sz w:val="28"/>
          <w:szCs w:val="28"/>
          <w:lang w:val="bg-BG" w:eastAsia="en-US"/>
        </w:rPr>
        <w:t>Местоположение</w:t>
      </w:r>
      <w:r>
        <w:rPr>
          <w:rFonts w:ascii="Times New Roman" w:eastAsiaTheme="minorHAnsi" w:hAnsi="Times New Roman"/>
          <w:b/>
          <w:sz w:val="28"/>
          <w:szCs w:val="28"/>
          <w:lang w:val="bg-BG" w:eastAsia="en-US"/>
        </w:rPr>
        <w:t xml:space="preserve"> и описание</w:t>
      </w:r>
      <w:r w:rsidRPr="00EA3C3D">
        <w:rPr>
          <w:rFonts w:ascii="Times New Roman" w:eastAsiaTheme="minorHAnsi" w:hAnsi="Times New Roman"/>
          <w:b/>
          <w:sz w:val="28"/>
          <w:szCs w:val="28"/>
          <w:lang w:val="bg-BG" w:eastAsia="en-US"/>
        </w:rPr>
        <w:t xml:space="preserve"> на обекта</w:t>
      </w:r>
      <w:r>
        <w:rPr>
          <w:rFonts w:ascii="Times New Roman" w:eastAsiaTheme="minorHAnsi" w:hAnsi="Times New Roman"/>
          <w:b/>
          <w:sz w:val="24"/>
          <w:szCs w:val="24"/>
          <w:lang w:val="bg-BG" w:eastAsia="en-US"/>
        </w:rPr>
        <w:t xml:space="preserve"> </w:t>
      </w:r>
    </w:p>
    <w:p w:rsidR="00EA3C3D" w:rsidRPr="00EA3C3D" w:rsidRDefault="004152E0" w:rsidP="00EA3C3D">
      <w:p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lang w:val="bg-BG" w:eastAsia="en-US"/>
        </w:rPr>
      </w:pPr>
      <w:r>
        <w:rPr>
          <w:rFonts w:ascii="Times New Roman" w:hAnsi="Times New Roman"/>
          <w:bCs/>
          <w:sz w:val="28"/>
          <w:szCs w:val="28"/>
          <w:lang w:val="bg-BG"/>
        </w:rPr>
        <w:t>Предмет на обществената поръчка</w:t>
      </w:r>
      <w:r w:rsidR="007A6748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bg-BG"/>
        </w:rPr>
        <w:t xml:space="preserve"> е строеж </w:t>
      </w:r>
      <w:r w:rsidR="00FD0A8C">
        <w:rPr>
          <w:rFonts w:ascii="Times New Roman" w:hAnsi="Times New Roman"/>
          <w:bCs/>
          <w:sz w:val="28"/>
          <w:szCs w:val="28"/>
          <w:lang w:val="bg-BG"/>
        </w:rPr>
        <w:t>пета</w:t>
      </w:r>
      <w:r w:rsidRPr="008871D1">
        <w:rPr>
          <w:rFonts w:ascii="Times New Roman" w:hAnsi="Times New Roman"/>
          <w:bCs/>
          <w:sz w:val="28"/>
          <w:szCs w:val="28"/>
          <w:lang w:val="bg-BG"/>
        </w:rPr>
        <w:t xml:space="preserve"> група</w:t>
      </w:r>
      <w:r w:rsidR="00C75878">
        <w:rPr>
          <w:rFonts w:ascii="Times New Roman" w:hAnsi="Times New Roman"/>
          <w:bCs/>
          <w:sz w:val="28"/>
          <w:szCs w:val="28"/>
          <w:lang w:val="bg-BG"/>
        </w:rPr>
        <w:t xml:space="preserve">. </w:t>
      </w:r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Строително-монтажните работи ще се извършват на терито</w:t>
      </w:r>
      <w:bookmarkStart w:id="0" w:name="_GoBack"/>
      <w:bookmarkEnd w:id="0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рията на ка</w:t>
      </w:r>
      <w:r w:rsidR="002B2286">
        <w:rPr>
          <w:rFonts w:ascii="Times New Roman" w:eastAsiaTheme="minorHAnsi" w:hAnsi="Times New Roman"/>
          <w:sz w:val="28"/>
          <w:szCs w:val="28"/>
          <w:lang w:val="bg-BG" w:eastAsia="en-US"/>
        </w:rPr>
        <w:t>бинети, зали и коридори в сгради</w:t>
      </w:r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т</w:t>
      </w:r>
      <w:r w:rsidR="002B2286">
        <w:rPr>
          <w:rFonts w:ascii="Times New Roman" w:eastAsiaTheme="minorHAnsi" w:hAnsi="Times New Roman"/>
          <w:sz w:val="28"/>
          <w:szCs w:val="28"/>
          <w:lang w:val="bg-BG" w:eastAsia="en-US"/>
        </w:rPr>
        <w:t>е</w:t>
      </w:r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на Народното събрание, София, пл. </w:t>
      </w:r>
      <w:r w:rsidR="002B2286">
        <w:rPr>
          <w:rFonts w:ascii="Times New Roman" w:eastAsiaTheme="minorHAnsi" w:hAnsi="Times New Roman"/>
          <w:sz w:val="28"/>
          <w:szCs w:val="28"/>
          <w:lang w:val="bg-BG" w:eastAsia="en-US"/>
        </w:rPr>
        <w:t>„Народно събрание“</w:t>
      </w:r>
      <w:r w:rsidR="002B2286" w:rsidRPr="002B2286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</w:t>
      </w:r>
      <w:r w:rsidR="002B2286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№</w:t>
      </w:r>
      <w:r w:rsidR="002B2286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2 и </w:t>
      </w:r>
      <w:proofErr w:type="spellStart"/>
      <w:r w:rsidR="002B2286">
        <w:rPr>
          <w:rFonts w:ascii="Times New Roman" w:eastAsiaTheme="minorHAnsi" w:hAnsi="Times New Roman"/>
          <w:sz w:val="28"/>
          <w:szCs w:val="28"/>
          <w:lang w:val="bg-BG" w:eastAsia="en-US"/>
        </w:rPr>
        <w:t>пл</w:t>
      </w:r>
      <w:proofErr w:type="spellEnd"/>
      <w:r w:rsidR="002B2286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</w:t>
      </w:r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„Княз Александър I“ №</w:t>
      </w:r>
      <w:r w:rsidR="002B2286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</w:t>
      </w:r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1</w:t>
      </w:r>
      <w:r w:rsid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. </w:t>
      </w:r>
      <w:r w:rsidR="002B2286" w:rsidRPr="007C1C76">
        <w:rPr>
          <w:rFonts w:ascii="Times New Roman" w:hAnsi="Times New Roman"/>
          <w:sz w:val="28"/>
          <w:szCs w:val="28"/>
          <w:lang w:val="bg-BG"/>
        </w:rPr>
        <w:t>Предвиден</w:t>
      </w:r>
      <w:r w:rsidR="002B2286">
        <w:rPr>
          <w:rFonts w:ascii="Times New Roman" w:hAnsi="Times New Roman"/>
          <w:sz w:val="28"/>
          <w:szCs w:val="28"/>
          <w:lang w:val="bg-BG"/>
        </w:rPr>
        <w:t>ите з</w:t>
      </w:r>
      <w:r w:rsidR="002B2286" w:rsidRPr="007C1C76">
        <w:rPr>
          <w:rFonts w:ascii="Times New Roman" w:hAnsi="Times New Roman"/>
          <w:sz w:val="28"/>
          <w:szCs w:val="28"/>
          <w:lang w:val="bg-BG"/>
        </w:rPr>
        <w:t xml:space="preserve">а ремонт </w:t>
      </w:r>
      <w:r w:rsidR="002B2286">
        <w:rPr>
          <w:rFonts w:ascii="Times New Roman" w:hAnsi="Times New Roman"/>
          <w:sz w:val="28"/>
          <w:szCs w:val="28"/>
          <w:lang w:val="bg-BG"/>
        </w:rPr>
        <w:t xml:space="preserve">работни </w:t>
      </w:r>
      <w:r w:rsidR="002B2286" w:rsidRPr="007C1C76">
        <w:rPr>
          <w:rFonts w:ascii="Times New Roman" w:hAnsi="Times New Roman"/>
          <w:sz w:val="28"/>
          <w:szCs w:val="28"/>
          <w:lang w:val="bg-BG"/>
        </w:rPr>
        <w:t>помещени</w:t>
      </w:r>
      <w:r w:rsidR="002B2286">
        <w:rPr>
          <w:rFonts w:ascii="Times New Roman" w:hAnsi="Times New Roman"/>
          <w:sz w:val="28"/>
          <w:szCs w:val="28"/>
          <w:lang w:val="bg-BG"/>
        </w:rPr>
        <w:t xml:space="preserve">я в сградата на </w:t>
      </w:r>
      <w:r w:rsidR="002B2286" w:rsidRPr="005A773E">
        <w:rPr>
          <w:rFonts w:ascii="Times New Roman" w:hAnsi="Times New Roman"/>
          <w:sz w:val="28"/>
          <w:szCs w:val="28"/>
          <w:lang w:val="bg-BG"/>
        </w:rPr>
        <w:t>пл. „Народно събрание“ №2“</w:t>
      </w:r>
      <w:r w:rsidR="001B5B4C" w:rsidRPr="001B5B4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B5B4C">
        <w:rPr>
          <w:rFonts w:ascii="Times New Roman" w:hAnsi="Times New Roman"/>
          <w:sz w:val="28"/>
          <w:szCs w:val="28"/>
          <w:lang w:val="bg-BG"/>
        </w:rPr>
        <w:t xml:space="preserve">представляват </w:t>
      </w:r>
      <w:r w:rsidR="002B2286">
        <w:rPr>
          <w:rFonts w:ascii="Times New Roman" w:hAnsi="Times New Roman"/>
          <w:sz w:val="28"/>
          <w:szCs w:val="28"/>
          <w:lang w:val="bg-BG"/>
        </w:rPr>
        <w:t>кабинети и коридор пред тях на трети етаж и Огледална зала в сутерена</w:t>
      </w:r>
      <w:r w:rsidR="001B5B4C">
        <w:rPr>
          <w:rFonts w:ascii="Times New Roman" w:hAnsi="Times New Roman"/>
          <w:sz w:val="28"/>
          <w:szCs w:val="28"/>
          <w:lang w:val="bg-BG"/>
        </w:rPr>
        <w:t xml:space="preserve">, а в сградата на пл. „Княз Александър I“ №1- </w:t>
      </w:r>
      <w:r w:rsidR="001B5B4C" w:rsidRPr="00A822E2">
        <w:rPr>
          <w:rFonts w:ascii="Times New Roman" w:hAnsi="Times New Roman"/>
          <w:sz w:val="28"/>
          <w:szCs w:val="28"/>
          <w:lang w:val="bg-BG"/>
        </w:rPr>
        <w:t>кабинети, зали и коридори</w:t>
      </w:r>
      <w:r w:rsidR="001B5B4C">
        <w:rPr>
          <w:rFonts w:ascii="Times New Roman" w:hAnsi="Times New Roman"/>
          <w:sz w:val="28"/>
          <w:szCs w:val="28"/>
          <w:lang w:val="bg-BG"/>
        </w:rPr>
        <w:t>, разположени на 6 етажа.</w:t>
      </w:r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Работните кабинети </w:t>
      </w:r>
      <w:r w:rsidR="00EA3C3D">
        <w:rPr>
          <w:rFonts w:ascii="Times New Roman" w:eastAsiaTheme="minorHAnsi" w:hAnsi="Times New Roman"/>
          <w:sz w:val="28"/>
          <w:szCs w:val="28"/>
          <w:lang w:val="bg-BG" w:eastAsia="en-US"/>
        </w:rPr>
        <w:t>с</w:t>
      </w:r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а напълно оборудвани с мебели и офис техника, което задължава изпълнителя преди началото на самите работи в съответния кабинет да изнесе наличното там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преместваемо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имущество в коридора, пред съответният кабинет, а останалите елементи от интериора – врати, дограми, осветителни тела, отоплителни тела и др. да защити (завие) с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полиетилен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. Наличното имущество в един стандартен кабинет е два боя бюра с приставка и контейнер на колелца, два б</w:t>
      </w:r>
      <w:r w:rsidR="00FD0A8C">
        <w:rPr>
          <w:rFonts w:ascii="Times New Roman" w:eastAsiaTheme="minorHAnsi" w:hAnsi="Times New Roman"/>
          <w:sz w:val="28"/>
          <w:szCs w:val="28"/>
          <w:lang w:val="bg-BG" w:eastAsia="en-US"/>
        </w:rPr>
        <w:t>р</w:t>
      </w:r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оя столове, един брой шкаф (етажерка), два б</w:t>
      </w:r>
      <w:r w:rsidR="00FD0A8C">
        <w:rPr>
          <w:rFonts w:ascii="Times New Roman" w:eastAsiaTheme="minorHAnsi" w:hAnsi="Times New Roman"/>
          <w:sz w:val="28"/>
          <w:szCs w:val="28"/>
          <w:lang w:val="bg-BG" w:eastAsia="en-US"/>
        </w:rPr>
        <w:t>р</w:t>
      </w:r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оя компютри и телефони и един брой принтер.</w:t>
      </w:r>
      <w:r w:rsidR="00E726C0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</w:t>
      </w:r>
    </w:p>
    <w:p w:rsidR="00EA3C3D" w:rsidRPr="00EA3C3D" w:rsidRDefault="00EA3C3D" w:rsidP="00EA3C3D">
      <w:pPr>
        <w:spacing w:after="200" w:line="276" w:lineRule="auto"/>
        <w:ind w:firstLine="708"/>
        <w:rPr>
          <w:rFonts w:ascii="Times New Roman" w:eastAsiaTheme="minorHAnsi" w:hAnsi="Times New Roman"/>
          <w:b/>
          <w:sz w:val="24"/>
          <w:szCs w:val="24"/>
          <w:lang w:val="bg-BG" w:eastAsia="en-US"/>
        </w:rPr>
      </w:pPr>
    </w:p>
    <w:p w:rsidR="00EA3C3D" w:rsidRPr="00EA3C3D" w:rsidRDefault="00EA3C3D" w:rsidP="007F5C15">
      <w:pPr>
        <w:spacing w:after="200" w:line="276" w:lineRule="auto"/>
        <w:contextualSpacing/>
        <w:rPr>
          <w:rFonts w:ascii="Times New Roman" w:eastAsiaTheme="minorHAnsi" w:hAnsi="Times New Roman"/>
          <w:b/>
          <w:sz w:val="24"/>
          <w:szCs w:val="24"/>
          <w:lang w:val="bg-BG" w:eastAsia="en-US"/>
        </w:rPr>
      </w:pPr>
      <w:r w:rsidRPr="00EA3C3D">
        <w:rPr>
          <w:rFonts w:ascii="Times New Roman" w:eastAsiaTheme="minorHAnsi" w:hAnsi="Times New Roman"/>
          <w:b/>
          <w:sz w:val="28"/>
          <w:szCs w:val="28"/>
          <w:lang w:val="bg-BG" w:eastAsia="en-US"/>
        </w:rPr>
        <w:t>Изисквания към начина на изпълнение</w:t>
      </w:r>
      <w:r w:rsidR="007F656F">
        <w:rPr>
          <w:rFonts w:ascii="Times New Roman" w:eastAsiaTheme="minorHAnsi" w:hAnsi="Times New Roman"/>
          <w:b/>
          <w:sz w:val="28"/>
          <w:szCs w:val="28"/>
          <w:lang w:val="bg-BG" w:eastAsia="en-US"/>
        </w:rPr>
        <w:t xml:space="preserve"> и видовете строителни материали</w:t>
      </w:r>
    </w:p>
    <w:p w:rsidR="00EA3C3D" w:rsidRPr="00EA3C3D" w:rsidRDefault="00EA3C3D" w:rsidP="00EA3C3D">
      <w:p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lang w:val="bg-BG" w:eastAsia="en-US"/>
        </w:rPr>
      </w:pPr>
      <w:r w:rsidRPr="007F5C15">
        <w:rPr>
          <w:rFonts w:ascii="Times New Roman" w:eastAsiaTheme="minorHAnsi" w:hAnsi="Times New Roman"/>
          <w:sz w:val="28"/>
          <w:szCs w:val="28"/>
          <w:lang w:val="bg-BG" w:eastAsia="en-US"/>
        </w:rPr>
        <w:t>Изпълнението на поръчката ще се извършва съ</w:t>
      </w:r>
      <w:r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гласно  изискванията на възложителя, подробно описани в </w:t>
      </w:r>
      <w:r w:rsidR="003073CD">
        <w:rPr>
          <w:rFonts w:ascii="Times New Roman" w:eastAsiaTheme="minorHAnsi" w:hAnsi="Times New Roman"/>
          <w:sz w:val="28"/>
          <w:szCs w:val="28"/>
          <w:lang w:val="bg-BG" w:eastAsia="en-US"/>
        </w:rPr>
        <w:t>настоящата спецификация и</w:t>
      </w:r>
      <w:r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при спазване на действащото законодателство, съобразно установените технически норми и стандарти в страната и правилата по безопасност, хигиена на труда и пожарна безопасност.</w:t>
      </w:r>
    </w:p>
    <w:p w:rsidR="003073CD" w:rsidRPr="003073CD" w:rsidRDefault="003073CD" w:rsidP="003073CD">
      <w:p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lang w:val="bg-BG" w:eastAsia="en-US"/>
        </w:rPr>
      </w:pPr>
      <w:r w:rsidRPr="003073C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При изпълнение на поръчката </w:t>
      </w:r>
      <w:r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изпълнителят </w:t>
      </w:r>
      <w:r w:rsidRPr="003073CD">
        <w:rPr>
          <w:rFonts w:ascii="Times New Roman" w:eastAsiaTheme="minorHAnsi" w:hAnsi="Times New Roman"/>
          <w:sz w:val="28"/>
          <w:szCs w:val="28"/>
          <w:lang w:val="bg-BG" w:eastAsia="en-US"/>
        </w:rPr>
        <w:t>следва да</w:t>
      </w:r>
      <w:r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</w:t>
      </w:r>
      <w:r w:rsidRPr="003073C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пази имуществото на възложителя с грижата на добър търговец. </w:t>
      </w:r>
      <w:r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За наличното имущество във всеки един кабинет или зала, ще бъде направен протокол</w:t>
      </w:r>
      <w:r>
        <w:rPr>
          <w:rFonts w:ascii="Times New Roman" w:eastAsiaTheme="minorHAnsi" w:hAnsi="Times New Roman"/>
          <w:sz w:val="28"/>
          <w:szCs w:val="28"/>
          <w:lang w:val="bg-BG" w:eastAsia="en-US"/>
        </w:rPr>
        <w:t>.</w:t>
      </w:r>
      <w:r w:rsidRPr="003073C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</w:t>
      </w:r>
      <w:r w:rsidRPr="003073CD">
        <w:rPr>
          <w:rFonts w:ascii="Times New Roman" w:eastAsiaTheme="minorHAnsi" w:hAnsi="Times New Roman"/>
          <w:sz w:val="28"/>
          <w:szCs w:val="28"/>
          <w:lang w:val="bg-BG" w:eastAsia="en-US"/>
        </w:rPr>
        <w:lastRenderedPageBreak/>
        <w:t xml:space="preserve">Всички елементи на интериора (мебели – вградени и </w:t>
      </w:r>
      <w:proofErr w:type="spellStart"/>
      <w:r w:rsidRPr="003073CD">
        <w:rPr>
          <w:rFonts w:ascii="Times New Roman" w:eastAsiaTheme="minorHAnsi" w:hAnsi="Times New Roman"/>
          <w:sz w:val="28"/>
          <w:szCs w:val="28"/>
          <w:lang w:val="bg-BG" w:eastAsia="en-US"/>
        </w:rPr>
        <w:t>преместваеми</w:t>
      </w:r>
      <w:proofErr w:type="spellEnd"/>
      <w:r w:rsidRPr="003073CD">
        <w:rPr>
          <w:rFonts w:ascii="Times New Roman" w:eastAsiaTheme="minorHAnsi" w:hAnsi="Times New Roman"/>
          <w:sz w:val="28"/>
          <w:szCs w:val="28"/>
          <w:lang w:val="bg-BG" w:eastAsia="en-US"/>
        </w:rPr>
        <w:t>, врати, прозорци, осветителни тела, ключове и контакти, отоплителни тела и вентилационни решетки и др.), в случай че не се изнасят извън зоната на ремонтните работи или не са предмет на същите – следва да бъдат защитени по подходящ начин. При евентуално нанесени вреди на лица или имущество, при или по повод изпълнението на ремонтните работи, отговорността е изцяло на изпълнителя.</w:t>
      </w:r>
    </w:p>
    <w:p w:rsidR="00EA3C3D" w:rsidRPr="003073CD" w:rsidRDefault="00EA3C3D" w:rsidP="003073CD">
      <w:p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lang w:val="bg-BG" w:eastAsia="en-US"/>
        </w:rPr>
      </w:pPr>
      <w:r w:rsidRPr="003073CD">
        <w:rPr>
          <w:rFonts w:ascii="Times New Roman" w:eastAsiaTheme="minorHAnsi" w:hAnsi="Times New Roman"/>
          <w:sz w:val="28"/>
          <w:szCs w:val="28"/>
          <w:lang w:val="bg-BG" w:eastAsia="en-US"/>
        </w:rPr>
        <w:t>Ор</w:t>
      </w:r>
      <w:r w:rsidR="00E726C0">
        <w:rPr>
          <w:rFonts w:ascii="Times New Roman" w:eastAsiaTheme="minorHAnsi" w:hAnsi="Times New Roman"/>
          <w:sz w:val="28"/>
          <w:szCs w:val="28"/>
          <w:lang w:val="bg-BG" w:eastAsia="en-US"/>
        </w:rPr>
        <w:t>ганизацията и самото изпълнение</w:t>
      </w:r>
      <w:r w:rsidRPr="003073C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на работите, обект на поръчката</w:t>
      </w:r>
      <w:r w:rsidR="00E726C0">
        <w:rPr>
          <w:rFonts w:ascii="Times New Roman" w:eastAsiaTheme="minorHAnsi" w:hAnsi="Times New Roman"/>
          <w:sz w:val="28"/>
          <w:szCs w:val="28"/>
          <w:lang w:val="bg-BG" w:eastAsia="en-US"/>
        </w:rPr>
        <w:t>,</w:t>
      </w:r>
      <w:r w:rsidRPr="003073C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трябва да са съобразени с условията на строителството в централната градска част. Изпълнителят трябва да си осигури съответните разрешителни за влизане на транспорт и механизация в зона Ц – гр. София и да предприеме необходимите действия за организация на строителната площадка.</w:t>
      </w:r>
    </w:p>
    <w:p w:rsidR="00EA3C3D" w:rsidRPr="003073CD" w:rsidRDefault="00EA3C3D" w:rsidP="00AE6D00">
      <w:p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lang w:val="bg-BG" w:eastAsia="en-US"/>
        </w:rPr>
      </w:pPr>
      <w:r w:rsidRPr="003073CD">
        <w:rPr>
          <w:rFonts w:ascii="Times New Roman" w:eastAsiaTheme="minorHAnsi" w:hAnsi="Times New Roman"/>
          <w:sz w:val="28"/>
          <w:szCs w:val="28"/>
          <w:lang w:val="bg-BG" w:eastAsia="en-US"/>
        </w:rPr>
        <w:t>Строително-монтажните работи ще се изпълняват при режим на ограничен достъп до сградата и в условията на</w:t>
      </w:r>
      <w:r w:rsidR="00AE6D00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работещо Народно събрание. </w:t>
      </w:r>
      <w:r w:rsidRPr="003073CD">
        <w:rPr>
          <w:rFonts w:ascii="Times New Roman" w:eastAsiaTheme="minorHAnsi" w:hAnsi="Times New Roman"/>
          <w:sz w:val="28"/>
          <w:szCs w:val="28"/>
          <w:lang w:val="bg-BG" w:eastAsia="en-US"/>
        </w:rPr>
        <w:t>С оглед нормалното функциониране на сградата</w:t>
      </w:r>
      <w:r w:rsidR="00A73D4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073CD">
        <w:rPr>
          <w:rFonts w:ascii="Times New Roman" w:eastAsiaTheme="minorHAnsi" w:hAnsi="Times New Roman"/>
          <w:sz w:val="28"/>
          <w:szCs w:val="28"/>
          <w:lang w:val="bg-BG" w:eastAsia="en-US"/>
        </w:rPr>
        <w:t>изпълнението на</w:t>
      </w:r>
      <w:r w:rsidR="00AE6D00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видовете СМР ще се извършва </w:t>
      </w:r>
      <w:r w:rsidR="00A73D49">
        <w:rPr>
          <w:rFonts w:ascii="Times New Roman" w:eastAsiaTheme="minorHAnsi" w:hAnsi="Times New Roman"/>
          <w:sz w:val="28"/>
          <w:szCs w:val="28"/>
          <w:lang w:val="bg-BG" w:eastAsia="en-US"/>
        </w:rPr>
        <w:t>и в почивни и празнични дни</w:t>
      </w:r>
      <w:r w:rsidR="00FF2F46">
        <w:rPr>
          <w:rFonts w:ascii="Times New Roman" w:eastAsiaTheme="minorHAnsi" w:hAnsi="Times New Roman"/>
          <w:sz w:val="28"/>
          <w:szCs w:val="28"/>
          <w:lang w:val="bg-BG" w:eastAsia="en-US"/>
        </w:rPr>
        <w:t>,</w:t>
      </w:r>
      <w:r w:rsidRPr="003073C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</w:t>
      </w:r>
      <w:r w:rsidR="00AE6D00">
        <w:rPr>
          <w:rFonts w:ascii="Times New Roman" w:eastAsiaTheme="minorHAnsi" w:hAnsi="Times New Roman"/>
          <w:sz w:val="28"/>
          <w:szCs w:val="28"/>
          <w:lang w:val="bg-BG" w:eastAsia="en-US"/>
        </w:rPr>
        <w:t>при</w:t>
      </w:r>
      <w:r w:rsidRPr="003073C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двусменен режим на работа, без това да променя общата стойност и срок на поръчката (възложителя</w:t>
      </w:r>
      <w:r w:rsidR="00A73D49">
        <w:rPr>
          <w:rFonts w:ascii="Times New Roman" w:eastAsiaTheme="minorHAnsi" w:hAnsi="Times New Roman"/>
          <w:sz w:val="28"/>
          <w:szCs w:val="28"/>
          <w:lang w:val="bg-BG" w:eastAsia="en-US"/>
        </w:rPr>
        <w:t>т</w:t>
      </w:r>
      <w:r w:rsidRPr="003073C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осигурява достъп до зоните за работа в почивните и празнични дни в т.ч. в дните събота и неделя).</w:t>
      </w:r>
    </w:p>
    <w:p w:rsidR="007F5C15" w:rsidRDefault="007F5C15" w:rsidP="007F5C15">
      <w:p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lang w:val="bg-BG" w:eastAsia="en-US"/>
        </w:rPr>
      </w:pPr>
      <w:r w:rsidRPr="003073CD">
        <w:rPr>
          <w:rFonts w:ascii="Times New Roman" w:eastAsiaTheme="minorHAnsi" w:hAnsi="Times New Roman"/>
          <w:sz w:val="28"/>
          <w:szCs w:val="28"/>
          <w:lang w:val="bg-BG" w:eastAsia="en-US"/>
        </w:rPr>
        <w:t>След приключване на работата за деня, следва да се почистват своевременно всички зацапани повърхностни и подхо</w:t>
      </w:r>
      <w:r w:rsidR="00A73D49">
        <w:rPr>
          <w:rFonts w:ascii="Times New Roman" w:eastAsiaTheme="minorHAnsi" w:hAnsi="Times New Roman"/>
          <w:sz w:val="28"/>
          <w:szCs w:val="28"/>
          <w:lang w:val="bg-BG" w:eastAsia="en-US"/>
        </w:rPr>
        <w:t>ди за внасяне и изнасяне на строителните</w:t>
      </w:r>
      <w:r w:rsidRPr="003073C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материали.</w:t>
      </w:r>
      <w:r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Необходимо е</w:t>
      </w:r>
      <w:r w:rsidR="00EA3C3D" w:rsidRPr="003073C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регулярно изхвърляне на строителния отпадък за сметка</w:t>
      </w:r>
      <w:r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на изпълнителя,</w:t>
      </w:r>
      <w:r w:rsidR="00EA3C3D" w:rsidRPr="003073C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в т.ч. </w:t>
      </w:r>
      <w:r>
        <w:rPr>
          <w:rFonts w:ascii="Times New Roman" w:eastAsiaTheme="minorHAnsi" w:hAnsi="Times New Roman"/>
          <w:sz w:val="28"/>
          <w:szCs w:val="28"/>
          <w:lang w:val="bg-BG" w:eastAsia="en-US"/>
        </w:rPr>
        <w:t>извозване</w:t>
      </w:r>
      <w:r w:rsidR="00EA3C3D" w:rsidRPr="003073C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</w:t>
      </w:r>
      <w:r w:rsidR="00A73D49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до </w:t>
      </w:r>
      <w:r w:rsidR="00EA3C3D" w:rsidRPr="003073C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отредените от общината сметища и след приключване на всички дейности - основно </w:t>
      </w:r>
      <w:r>
        <w:rPr>
          <w:rFonts w:ascii="Times New Roman" w:eastAsiaTheme="minorHAnsi" w:hAnsi="Times New Roman"/>
          <w:sz w:val="28"/>
          <w:szCs w:val="28"/>
          <w:lang w:val="bg-BG" w:eastAsia="en-US"/>
        </w:rPr>
        <w:t>почистване на</w:t>
      </w:r>
      <w:r w:rsidR="00EA3C3D" w:rsidRPr="003073C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помещенията</w:t>
      </w:r>
      <w:r>
        <w:rPr>
          <w:rFonts w:ascii="Times New Roman" w:eastAsiaTheme="minorHAnsi" w:hAnsi="Times New Roman"/>
          <w:sz w:val="28"/>
          <w:szCs w:val="28"/>
          <w:lang w:val="bg-BG" w:eastAsia="en-US"/>
        </w:rPr>
        <w:t>.</w:t>
      </w:r>
      <w:r w:rsidRPr="007F5C15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</w:t>
      </w:r>
    </w:p>
    <w:p w:rsidR="002A147B" w:rsidRPr="003B3D13" w:rsidRDefault="002A147B" w:rsidP="007F5C15">
      <w:p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lang w:val="bg-BG" w:eastAsia="en-US"/>
        </w:rPr>
      </w:pPr>
      <w:r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При изпълнението на СМР е необходимо да се спазва утвърдения от главния секретар план за пожарна </w:t>
      </w:r>
      <w:r w:rsidRPr="003B3D13">
        <w:rPr>
          <w:rFonts w:ascii="Times New Roman" w:eastAsiaTheme="minorHAnsi" w:hAnsi="Times New Roman"/>
          <w:sz w:val="28"/>
          <w:szCs w:val="28"/>
          <w:lang w:val="bg-BG" w:eastAsia="en-US"/>
        </w:rPr>
        <w:t>безопасност на Народното събрание, вх. № 355-00-311/04.</w:t>
      </w:r>
      <w:proofErr w:type="spellStart"/>
      <w:r w:rsidRPr="003B3D13">
        <w:rPr>
          <w:rFonts w:ascii="Times New Roman" w:eastAsiaTheme="minorHAnsi" w:hAnsi="Times New Roman"/>
          <w:sz w:val="28"/>
          <w:szCs w:val="28"/>
          <w:lang w:val="bg-BG" w:eastAsia="en-US"/>
        </w:rPr>
        <w:t>04</w:t>
      </w:r>
      <w:proofErr w:type="spellEnd"/>
      <w:r w:rsidRPr="003B3D13">
        <w:rPr>
          <w:rFonts w:ascii="Times New Roman" w:eastAsiaTheme="minorHAnsi" w:hAnsi="Times New Roman"/>
          <w:sz w:val="28"/>
          <w:szCs w:val="28"/>
          <w:lang w:val="bg-BG" w:eastAsia="en-US"/>
        </w:rPr>
        <w:t>.2013 г.</w:t>
      </w:r>
    </w:p>
    <w:p w:rsidR="00B93D31" w:rsidRPr="003844EA" w:rsidRDefault="007F5C15" w:rsidP="00B93D31">
      <w:pPr>
        <w:ind w:firstLine="720"/>
        <w:rPr>
          <w:rFonts w:ascii="Times New Roman" w:eastAsiaTheme="minorHAnsi" w:hAnsi="Times New Roman"/>
          <w:sz w:val="28"/>
          <w:szCs w:val="28"/>
          <w:lang w:val="bg-BG" w:eastAsia="en-US"/>
        </w:rPr>
      </w:pPr>
      <w:r w:rsidRPr="003844EA">
        <w:rPr>
          <w:rFonts w:ascii="Times New Roman" w:eastAsiaTheme="minorHAnsi" w:hAnsi="Times New Roman"/>
          <w:sz w:val="28"/>
          <w:szCs w:val="28"/>
          <w:lang w:val="bg-BG" w:eastAsia="en-US"/>
        </w:rPr>
        <w:t>Предвид кратките срокове за изпълнение на предвидените работи и факт</w:t>
      </w:r>
      <w:r w:rsidR="00A73D49" w:rsidRPr="003844EA">
        <w:rPr>
          <w:rFonts w:ascii="Times New Roman" w:eastAsiaTheme="minorHAnsi" w:hAnsi="Times New Roman"/>
          <w:sz w:val="28"/>
          <w:szCs w:val="28"/>
          <w:lang w:val="bg-BG" w:eastAsia="en-US"/>
        </w:rPr>
        <w:t>а</w:t>
      </w:r>
      <w:r w:rsidRPr="003844EA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, че ще се работи в условията на работещо Народно събрание, </w:t>
      </w:r>
      <w:r w:rsidR="00B93D31" w:rsidRPr="003844EA">
        <w:rPr>
          <w:rFonts w:ascii="Times New Roman" w:hAnsi="Times New Roman"/>
          <w:sz w:val="28"/>
          <w:szCs w:val="28"/>
          <w:lang w:val="bg-BG"/>
        </w:rPr>
        <w:t xml:space="preserve">преди началото на </w:t>
      </w:r>
      <w:r w:rsidR="00F326BD" w:rsidRPr="003844EA">
        <w:rPr>
          <w:rFonts w:ascii="Times New Roman" w:hAnsi="Times New Roman"/>
          <w:sz w:val="28"/>
          <w:szCs w:val="28"/>
          <w:lang w:val="bg-BG"/>
        </w:rPr>
        <w:t>строително-монтажните работи</w:t>
      </w:r>
      <w:r w:rsidR="00B93D31" w:rsidRPr="003844EA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изпълнителят следва да състави </w:t>
      </w:r>
      <w:r w:rsidR="00F326BD" w:rsidRPr="003844EA">
        <w:rPr>
          <w:rFonts w:ascii="Times New Roman" w:eastAsiaTheme="minorHAnsi" w:hAnsi="Times New Roman"/>
          <w:sz w:val="28"/>
          <w:szCs w:val="28"/>
          <w:lang w:val="bg-BG" w:eastAsia="en-US"/>
        </w:rPr>
        <w:t>и представи на възложителя линей</w:t>
      </w:r>
      <w:r w:rsidR="00B93D31" w:rsidRPr="003844EA">
        <w:rPr>
          <w:rFonts w:ascii="Times New Roman" w:eastAsiaTheme="minorHAnsi" w:hAnsi="Times New Roman"/>
          <w:sz w:val="28"/>
          <w:szCs w:val="28"/>
          <w:lang w:val="bg-BG" w:eastAsia="en-US"/>
        </w:rPr>
        <w:t>н</w:t>
      </w:r>
      <w:r w:rsidR="00F326BD" w:rsidRPr="003844EA">
        <w:rPr>
          <w:rFonts w:ascii="Times New Roman" w:eastAsiaTheme="minorHAnsi" w:hAnsi="Times New Roman"/>
          <w:sz w:val="28"/>
          <w:szCs w:val="28"/>
          <w:lang w:val="bg-BG" w:eastAsia="en-US"/>
        </w:rPr>
        <w:t>и</w:t>
      </w:r>
      <w:r w:rsidR="00B93D31" w:rsidRPr="003844EA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план</w:t>
      </w:r>
      <w:r w:rsidR="00F326BD" w:rsidRPr="003844EA">
        <w:rPr>
          <w:rFonts w:ascii="Times New Roman" w:eastAsiaTheme="minorHAnsi" w:hAnsi="Times New Roman"/>
          <w:sz w:val="28"/>
          <w:szCs w:val="28"/>
          <w:lang w:val="bg-BG" w:eastAsia="en-US"/>
        </w:rPr>
        <w:t>ове</w:t>
      </w:r>
      <w:r w:rsidR="00B93D31" w:rsidRPr="003844EA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(графи</w:t>
      </w:r>
      <w:r w:rsidR="00F326BD" w:rsidRPr="003844EA">
        <w:rPr>
          <w:rFonts w:ascii="Times New Roman" w:eastAsiaTheme="minorHAnsi" w:hAnsi="Times New Roman"/>
          <w:sz w:val="28"/>
          <w:szCs w:val="28"/>
          <w:lang w:val="bg-BG" w:eastAsia="en-US"/>
        </w:rPr>
        <w:t>ци</w:t>
      </w:r>
      <w:r w:rsidR="00B93D31" w:rsidRPr="003844EA">
        <w:rPr>
          <w:rFonts w:ascii="Times New Roman" w:eastAsiaTheme="minorHAnsi" w:hAnsi="Times New Roman"/>
          <w:sz w:val="28"/>
          <w:szCs w:val="28"/>
          <w:lang w:val="bg-BG" w:eastAsia="en-US"/>
        </w:rPr>
        <w:t>) по дни за работа по отделните зони в двете сгради при двусменен режим на работа, с посочен брой заети служители по видове работи.</w:t>
      </w:r>
      <w:r w:rsidR="00B93D31" w:rsidRPr="003844EA">
        <w:rPr>
          <w:rFonts w:ascii="Times New Roman" w:hAnsi="Times New Roman"/>
          <w:sz w:val="28"/>
          <w:szCs w:val="28"/>
          <w:lang w:val="bg-BG"/>
        </w:rPr>
        <w:t xml:space="preserve"> Народното събрание ще осигури достъп до помещенията и в почивните и празнични дни</w:t>
      </w:r>
      <w:r w:rsidR="00926E8E" w:rsidRPr="003844EA">
        <w:rPr>
          <w:rFonts w:ascii="Times New Roman" w:hAnsi="Times New Roman"/>
          <w:sz w:val="28"/>
          <w:szCs w:val="28"/>
          <w:lang w:val="bg-BG"/>
        </w:rPr>
        <w:t>,</w:t>
      </w:r>
      <w:r w:rsidR="00B93D31" w:rsidRPr="003844EA">
        <w:rPr>
          <w:rFonts w:ascii="Times New Roman" w:hAnsi="Times New Roman"/>
          <w:sz w:val="28"/>
          <w:szCs w:val="28"/>
          <w:lang w:val="bg-BG"/>
        </w:rPr>
        <w:t xml:space="preserve"> в т.ч. в  събота и неделя.</w:t>
      </w:r>
      <w:r w:rsidR="00B93D31" w:rsidRPr="003844EA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</w:t>
      </w:r>
      <w:r w:rsidR="00926E8E" w:rsidRPr="003844EA">
        <w:rPr>
          <w:rFonts w:ascii="Times New Roman" w:eastAsiaTheme="minorHAnsi" w:hAnsi="Times New Roman"/>
          <w:sz w:val="28"/>
          <w:szCs w:val="28"/>
          <w:lang w:val="bg-BG" w:eastAsia="en-US"/>
        </w:rPr>
        <w:t>Строително-монтажните работи в</w:t>
      </w:r>
      <w:r w:rsidR="00B93D31" w:rsidRPr="003844EA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кабинетите в сградата </w:t>
      </w:r>
      <w:r w:rsidR="00B93D31" w:rsidRPr="003844EA">
        <w:rPr>
          <w:rFonts w:ascii="Times New Roman" w:eastAsiaTheme="minorHAnsi" w:hAnsi="Times New Roman"/>
          <w:sz w:val="28"/>
          <w:szCs w:val="28"/>
          <w:lang w:val="bg-BG" w:eastAsia="en-US"/>
        </w:rPr>
        <w:lastRenderedPageBreak/>
        <w:t>на Народното събрание на пл. „Народно събрание“</w:t>
      </w:r>
      <w:r w:rsidR="00656313" w:rsidRPr="003844EA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</w:t>
      </w:r>
      <w:r w:rsidR="00B93D31" w:rsidRPr="003844EA">
        <w:rPr>
          <w:rFonts w:ascii="Times New Roman" w:eastAsiaTheme="minorHAnsi" w:hAnsi="Times New Roman"/>
          <w:sz w:val="28"/>
          <w:szCs w:val="28"/>
          <w:lang w:val="bg-BG" w:eastAsia="en-US"/>
        </w:rPr>
        <w:t>№</w:t>
      </w:r>
      <w:r w:rsidR="00926E8E" w:rsidRPr="003844EA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</w:t>
      </w:r>
      <w:r w:rsidR="00B93D31" w:rsidRPr="003844EA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2, </w:t>
      </w:r>
      <w:r w:rsidR="0006371B" w:rsidRPr="003844EA">
        <w:rPr>
          <w:rFonts w:ascii="Times New Roman" w:eastAsiaTheme="minorHAnsi" w:hAnsi="Times New Roman"/>
          <w:sz w:val="28"/>
          <w:szCs w:val="28"/>
          <w:lang w:val="bg-BG" w:eastAsia="en-US"/>
        </w:rPr>
        <w:t>могат да бъдат извършвани</w:t>
      </w:r>
      <w:r w:rsidR="00B93D31" w:rsidRPr="003844EA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само в периода от 03.08.2015 г. до 2</w:t>
      </w:r>
      <w:r w:rsidR="0006371B" w:rsidRPr="003844EA">
        <w:rPr>
          <w:rFonts w:ascii="Times New Roman" w:eastAsiaTheme="minorHAnsi" w:hAnsi="Times New Roman"/>
          <w:sz w:val="28"/>
          <w:szCs w:val="28"/>
          <w:lang w:val="bg-BG" w:eastAsia="en-US"/>
        </w:rPr>
        <w:t>6</w:t>
      </w:r>
      <w:r w:rsidR="00B93D31" w:rsidRPr="003844EA">
        <w:rPr>
          <w:rFonts w:ascii="Times New Roman" w:eastAsiaTheme="minorHAnsi" w:hAnsi="Times New Roman"/>
          <w:sz w:val="28"/>
          <w:szCs w:val="28"/>
          <w:lang w:val="bg-BG" w:eastAsia="en-US"/>
        </w:rPr>
        <w:t>.08.2015 г.</w:t>
      </w:r>
    </w:p>
    <w:p w:rsidR="007F656F" w:rsidRPr="003844EA" w:rsidRDefault="007F656F" w:rsidP="00B93D31">
      <w:pPr>
        <w:spacing w:after="200" w:line="276" w:lineRule="auto"/>
        <w:ind w:firstLine="720"/>
        <w:contextualSpacing/>
        <w:rPr>
          <w:rFonts w:ascii="Times New Roman" w:eastAsiaTheme="minorHAnsi" w:hAnsi="Times New Roman"/>
          <w:sz w:val="28"/>
          <w:szCs w:val="28"/>
          <w:lang w:val="bg-BG" w:eastAsia="en-US"/>
        </w:rPr>
      </w:pPr>
    </w:p>
    <w:p w:rsidR="002112E2" w:rsidRPr="00EA3C3D" w:rsidRDefault="002112E2" w:rsidP="002112E2">
      <w:pPr>
        <w:spacing w:after="200" w:line="276" w:lineRule="auto"/>
        <w:contextualSpacing/>
        <w:rPr>
          <w:rFonts w:ascii="Times New Roman" w:eastAsiaTheme="minorHAnsi" w:hAnsi="Times New Roman"/>
          <w:sz w:val="28"/>
          <w:szCs w:val="28"/>
          <w:lang w:val="bg-BG" w:eastAsia="en-US"/>
        </w:rPr>
      </w:pPr>
      <w:r w:rsidRPr="003844EA">
        <w:rPr>
          <w:rFonts w:ascii="Times New Roman" w:eastAsiaTheme="minorHAnsi" w:hAnsi="Times New Roman"/>
          <w:sz w:val="28"/>
          <w:szCs w:val="28"/>
          <w:lang w:val="bg-BG" w:eastAsia="en-US"/>
        </w:rPr>
        <w:t>Отделните видове строително-монтажни работи са посочени в количествена сметка. При изпълнението им следва да се спазват</w:t>
      </w:r>
      <w:r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посочените по-долу изисквания:</w:t>
      </w:r>
    </w:p>
    <w:p w:rsidR="007F5C15" w:rsidRDefault="00EA3C3D" w:rsidP="007F5C15">
      <w:pPr>
        <w:spacing w:after="200" w:line="276" w:lineRule="auto"/>
        <w:ind w:firstLine="720"/>
        <w:contextualSpacing/>
        <w:rPr>
          <w:rFonts w:ascii="Times New Roman" w:eastAsiaTheme="minorHAnsi" w:hAnsi="Times New Roman"/>
          <w:sz w:val="28"/>
          <w:szCs w:val="28"/>
          <w:lang w:val="bg-BG" w:eastAsia="en-US"/>
        </w:rPr>
      </w:pPr>
      <w:r w:rsidRPr="00EA3C3D">
        <w:rPr>
          <w:rFonts w:ascii="Times New Roman" w:eastAsiaTheme="minorHAnsi" w:hAnsi="Times New Roman"/>
          <w:b/>
          <w:sz w:val="28"/>
          <w:szCs w:val="28"/>
          <w:lang w:val="bg-BG" w:eastAsia="en-US"/>
        </w:rPr>
        <w:t>-</w:t>
      </w:r>
      <w:r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ab/>
      </w:r>
      <w:r w:rsidRPr="00EA3C3D">
        <w:rPr>
          <w:rFonts w:ascii="Times New Roman" w:eastAsiaTheme="minorHAnsi" w:hAnsi="Times New Roman"/>
          <w:i/>
          <w:sz w:val="28"/>
          <w:szCs w:val="28"/>
          <w:lang w:val="bg-BG" w:eastAsia="en-US"/>
        </w:rPr>
        <w:t xml:space="preserve">Покриване с </w:t>
      </w:r>
      <w:proofErr w:type="spellStart"/>
      <w:r w:rsidRPr="00EA3C3D">
        <w:rPr>
          <w:rFonts w:ascii="Times New Roman" w:eastAsiaTheme="minorHAnsi" w:hAnsi="Times New Roman"/>
          <w:i/>
          <w:sz w:val="28"/>
          <w:szCs w:val="28"/>
          <w:lang w:val="bg-BG" w:eastAsia="en-US"/>
        </w:rPr>
        <w:t>полиетилен</w:t>
      </w:r>
      <w:proofErr w:type="spellEnd"/>
      <w:r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: с цел качествена защита на имуществото на възложителя в зоната на работа и по пътищата за изнасян</w:t>
      </w:r>
      <w:r w:rsidR="003D7740">
        <w:rPr>
          <w:rFonts w:ascii="Times New Roman" w:eastAsiaTheme="minorHAnsi" w:hAnsi="Times New Roman"/>
          <w:sz w:val="28"/>
          <w:szCs w:val="28"/>
          <w:lang w:val="bg-BG" w:eastAsia="en-US"/>
        </w:rPr>
        <w:t>е</w:t>
      </w:r>
      <w:r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на строителния отпадък изпълнителя</w:t>
      </w:r>
      <w:r w:rsidR="002112E2">
        <w:rPr>
          <w:rFonts w:ascii="Times New Roman" w:eastAsiaTheme="minorHAnsi" w:hAnsi="Times New Roman"/>
          <w:sz w:val="28"/>
          <w:szCs w:val="28"/>
          <w:lang w:val="bg-BG" w:eastAsia="en-US"/>
        </w:rPr>
        <w:t>т</w:t>
      </w:r>
      <w:r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след</w:t>
      </w:r>
      <w:r w:rsidR="002112E2">
        <w:rPr>
          <w:rFonts w:ascii="Times New Roman" w:eastAsiaTheme="minorHAnsi" w:hAnsi="Times New Roman"/>
          <w:sz w:val="28"/>
          <w:szCs w:val="28"/>
          <w:lang w:val="bg-BG" w:eastAsia="en-US"/>
        </w:rPr>
        <w:t>в</w:t>
      </w:r>
      <w:r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а да направи превантивна защита с </w:t>
      </w:r>
      <w:proofErr w:type="spellStart"/>
      <w:r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полиетиленово</w:t>
      </w:r>
      <w:proofErr w:type="spellEnd"/>
      <w:r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фолио с дебелина мин. 45 микрона за покриване на подове и мин. 20 микрона за покриване на стени, мебели, осветителни тела и др. елементи от интериора.</w:t>
      </w:r>
    </w:p>
    <w:p w:rsidR="007F5C15" w:rsidRDefault="007F5C15" w:rsidP="007F5C15">
      <w:pPr>
        <w:spacing w:after="200" w:line="276" w:lineRule="auto"/>
        <w:ind w:firstLine="720"/>
        <w:contextualSpacing/>
        <w:rPr>
          <w:rFonts w:ascii="Times New Roman" w:eastAsiaTheme="minorHAnsi" w:hAnsi="Times New Roman"/>
          <w:sz w:val="28"/>
          <w:szCs w:val="28"/>
          <w:lang w:val="bg-BG" w:eastAsia="en-US"/>
        </w:rPr>
      </w:pPr>
      <w:r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- </w:t>
      </w:r>
      <w:r w:rsidR="00EA3C3D" w:rsidRPr="00EA3C3D">
        <w:rPr>
          <w:rFonts w:ascii="Times New Roman" w:eastAsiaTheme="minorHAnsi" w:hAnsi="Times New Roman"/>
          <w:i/>
          <w:sz w:val="28"/>
          <w:szCs w:val="28"/>
          <w:lang w:val="bg-BG" w:eastAsia="en-US"/>
        </w:rPr>
        <w:t>Демонтаж на тапети</w:t>
      </w:r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: в част от работните кабинети и помещения по стените има стари тапети, които следва да бъдат демонтирани по подходящ начин. След демонтажа на тапетите следва обработка на основата (грундиране) и шпакловане на повърхностите с гипсова шпакловка.</w:t>
      </w:r>
    </w:p>
    <w:p w:rsidR="007F5C15" w:rsidRDefault="007F5C15" w:rsidP="007F5C15">
      <w:pPr>
        <w:spacing w:after="200" w:line="276" w:lineRule="auto"/>
        <w:ind w:firstLine="720"/>
        <w:contextualSpacing/>
        <w:rPr>
          <w:rFonts w:ascii="Times New Roman" w:eastAsiaTheme="minorHAnsi" w:hAnsi="Times New Roman"/>
          <w:sz w:val="28"/>
          <w:szCs w:val="28"/>
          <w:lang w:val="bg-BG" w:eastAsia="en-US"/>
        </w:rPr>
      </w:pPr>
      <w:r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- </w:t>
      </w:r>
      <w:r w:rsidR="00EA3C3D" w:rsidRPr="00EA3C3D">
        <w:rPr>
          <w:rFonts w:ascii="Times New Roman" w:eastAsiaTheme="minorHAnsi" w:hAnsi="Times New Roman"/>
          <w:i/>
          <w:sz w:val="28"/>
          <w:szCs w:val="28"/>
          <w:lang w:val="bg-BG" w:eastAsia="en-US"/>
        </w:rPr>
        <w:t>Подготовка на основата (грундиране) и боядисване по стени тавани с латекс</w:t>
      </w:r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: преди боядисването с латекс по стени и тавани със стара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латексова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боя, следва да се направи подготовка на основата на стени и тавани</w:t>
      </w:r>
      <w:r w:rsidR="003D7740">
        <w:rPr>
          <w:rFonts w:ascii="Times New Roman" w:eastAsiaTheme="minorHAnsi" w:hAnsi="Times New Roman"/>
          <w:sz w:val="28"/>
          <w:szCs w:val="28"/>
          <w:lang w:val="bg-BG" w:eastAsia="en-US"/>
        </w:rPr>
        <w:t>,</w:t>
      </w:r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а именно - почистване и обезпрашаване, премахване на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подкожушената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шпакловка, частично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прешпакловане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, грундиране и подготовка на основата</w:t>
      </w:r>
      <w:r w:rsidR="003D7740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за полагане на </w:t>
      </w:r>
      <w:proofErr w:type="spellStart"/>
      <w:r w:rsidR="003D7740">
        <w:rPr>
          <w:rFonts w:ascii="Times New Roman" w:eastAsiaTheme="minorHAnsi" w:hAnsi="Times New Roman"/>
          <w:sz w:val="28"/>
          <w:szCs w:val="28"/>
          <w:lang w:val="bg-BG" w:eastAsia="en-US"/>
        </w:rPr>
        <w:t>латексова</w:t>
      </w:r>
      <w:proofErr w:type="spellEnd"/>
      <w:r w:rsidR="003D7740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боя. </w:t>
      </w:r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Така подготвената основа следва да се боядиса двукратно с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латексова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боя –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акрилна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, дишаща с отлична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покривност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, устойчива на изтриване с плътност не по-малка от 1,5 гр./см3, с цвят максимално близък до съществуващия.</w:t>
      </w:r>
    </w:p>
    <w:p w:rsidR="007F5C15" w:rsidRDefault="007F5C15" w:rsidP="007F5C15">
      <w:pPr>
        <w:spacing w:after="200" w:line="276" w:lineRule="auto"/>
        <w:ind w:firstLine="720"/>
        <w:contextualSpacing/>
        <w:rPr>
          <w:rFonts w:ascii="Times New Roman" w:eastAsiaTheme="minorHAnsi" w:hAnsi="Times New Roman"/>
          <w:sz w:val="28"/>
          <w:szCs w:val="28"/>
          <w:lang w:val="bg-BG" w:eastAsia="en-US"/>
        </w:rPr>
      </w:pPr>
      <w:r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-  </w:t>
      </w:r>
      <w:r w:rsidR="00EA3C3D" w:rsidRPr="00EA3C3D">
        <w:rPr>
          <w:rFonts w:ascii="Times New Roman" w:eastAsiaTheme="minorHAnsi" w:hAnsi="Times New Roman"/>
          <w:i/>
          <w:sz w:val="28"/>
          <w:szCs w:val="28"/>
          <w:lang w:val="bg-BG" w:eastAsia="en-US"/>
        </w:rPr>
        <w:t>Боядисване с алкидна блажна боя</w:t>
      </w:r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: преди полагането на блажна боя върху повърхности, същите следва да са добре почистени от прах, ръжда, масла (петна от животински, растителни или минерални масла) и други замърсители. Наранените повърхности следва да се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китват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, шлайфат и боядисат. Вторият пласт боя трябва да се нанася след пълното изсъхване на първия пласт.</w:t>
      </w:r>
      <w:r w:rsidR="00EA3C3D" w:rsidRPr="00EA3C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Боята трябва да е устойчива на влага, механични въздействия и атмосферни влияния, да има отлично сцепление към повърхностите и да притежава висока еластичност и устойчивост на триене и миене с почистващи препарати.</w:t>
      </w:r>
    </w:p>
    <w:p w:rsidR="007F5C15" w:rsidRDefault="007F5C15" w:rsidP="007F5C15">
      <w:pPr>
        <w:spacing w:after="200" w:line="276" w:lineRule="auto"/>
        <w:ind w:firstLine="720"/>
        <w:contextualSpacing/>
        <w:rPr>
          <w:rFonts w:ascii="Times New Roman" w:eastAsiaTheme="minorHAnsi" w:hAnsi="Times New Roman"/>
          <w:sz w:val="28"/>
          <w:szCs w:val="28"/>
          <w:lang w:val="bg-BG" w:eastAsia="en-US"/>
        </w:rPr>
      </w:pPr>
      <w:r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- </w:t>
      </w:r>
      <w:r w:rsidR="00EA3C3D" w:rsidRPr="00EA3C3D">
        <w:rPr>
          <w:rFonts w:ascii="Times New Roman" w:eastAsiaTheme="minorHAnsi" w:hAnsi="Times New Roman"/>
          <w:i/>
          <w:sz w:val="28"/>
          <w:szCs w:val="28"/>
          <w:lang w:val="bg-BG" w:eastAsia="en-US"/>
        </w:rPr>
        <w:t xml:space="preserve">Шлайфане и лакиране на врати, ламперия, вградени шкафове, </w:t>
      </w:r>
      <w:proofErr w:type="spellStart"/>
      <w:r w:rsidR="00EA3C3D" w:rsidRPr="00EA3C3D">
        <w:rPr>
          <w:rFonts w:ascii="Times New Roman" w:eastAsiaTheme="minorHAnsi" w:hAnsi="Times New Roman"/>
          <w:i/>
          <w:sz w:val="28"/>
          <w:szCs w:val="28"/>
          <w:lang w:val="bg-BG" w:eastAsia="en-US"/>
        </w:rPr>
        <w:t>радиаторни</w:t>
      </w:r>
      <w:proofErr w:type="spellEnd"/>
      <w:r w:rsidR="00EA3C3D" w:rsidRPr="00EA3C3D">
        <w:rPr>
          <w:rFonts w:ascii="Times New Roman" w:eastAsiaTheme="minorHAnsi" w:hAnsi="Times New Roman"/>
          <w:i/>
          <w:sz w:val="28"/>
          <w:szCs w:val="28"/>
          <w:lang w:val="bg-BG" w:eastAsia="en-US"/>
        </w:rPr>
        <w:t xml:space="preserve"> решетки и др.:</w:t>
      </w:r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преди полагането на лака върху дървените повърхности, същите следва да бъдат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китвани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, шлайфани и добре </w:t>
      </w:r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lastRenderedPageBreak/>
        <w:t xml:space="preserve">почистени от прах и различни замърсители. Наранените повърхности следва да се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китват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с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акрилен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кит за дърво притежаващ добра запълваща способност, бърза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съхливост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, здравина и добро шлайфане. Нанасянето на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пожароустойчив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лак (клас по реакция на огън минимум </w:t>
      </w:r>
      <w:r w:rsidR="00EA3C3D" w:rsidRPr="00EA3C3D">
        <w:rPr>
          <w:rFonts w:ascii="Times New Roman" w:eastAsiaTheme="minorHAnsi" w:hAnsi="Times New Roman"/>
          <w:sz w:val="28"/>
          <w:szCs w:val="28"/>
          <w:lang w:eastAsia="en-US"/>
        </w:rPr>
        <w:t xml:space="preserve">D-s2), </w:t>
      </w:r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следва да се прави само след грундиране на повърхностите. Материалът следва да осигури гладка, здрава и твърда повърхност, еднородност и липса на петна, отлична защита на дървото от влага, ултравиолетова светлина, химикали и механични въздействия.</w:t>
      </w:r>
    </w:p>
    <w:p w:rsidR="00766036" w:rsidRDefault="007F5C15" w:rsidP="00766036">
      <w:pPr>
        <w:spacing w:after="200" w:line="276" w:lineRule="auto"/>
        <w:ind w:firstLine="720"/>
        <w:contextualSpacing/>
        <w:rPr>
          <w:rFonts w:ascii="Times New Roman" w:eastAsiaTheme="minorHAnsi" w:hAnsi="Times New Roman"/>
          <w:sz w:val="28"/>
          <w:szCs w:val="28"/>
          <w:lang w:val="bg-BG" w:eastAsia="en-US"/>
        </w:rPr>
      </w:pPr>
      <w:r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- </w:t>
      </w:r>
      <w:r w:rsidR="00EA3C3D" w:rsidRPr="00EA3C3D">
        <w:rPr>
          <w:rFonts w:ascii="Times New Roman" w:eastAsiaTheme="minorHAnsi" w:hAnsi="Times New Roman"/>
          <w:i/>
          <w:sz w:val="28"/>
          <w:szCs w:val="28"/>
          <w:lang w:val="bg-BG" w:eastAsia="en-US"/>
        </w:rPr>
        <w:t>Циклене и трикратно лакиране на стар паркет:</w:t>
      </w:r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Преди лакирането на настилката от паркет, повърхността следва да се цикли,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китва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и шлайфа машинно и ръчно (в зоните, в които не достига машината). Съществуващите первази да се демонтират, а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преместваемите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мебели да се изнесат в коридора пред съответното помещение. В случай, че частично липсват подови первази, то такива следва да се осигурят и монтират, като видът и качеството им да не се различава от тези на съществуващите. Паркетът следва да се притегне и фугира, а в случай че липсват паркетини - следва да се осигурят и монтират, като качеството и видът им да не се различава от тези на съществуващите. Фугирането на настилката, да се изпълни с материал (паста, силикон и др.) по начин осигуряващ еднаквост и еднородност на настилката в цялото помещение. Материалът за лакиране трябва да бъде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пожароустойчив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, като следва да осигури гладка, здрава и твърда повърхност, еднородност и липса на петна, отлична защита на паркета от влага, ултравиолетова светлина, химикали и почистващи и миещи средства, механични въздействия.</w:t>
      </w:r>
    </w:p>
    <w:p w:rsidR="00766036" w:rsidRDefault="00766036" w:rsidP="00766036">
      <w:pPr>
        <w:spacing w:after="200" w:line="276" w:lineRule="auto"/>
        <w:ind w:firstLine="720"/>
        <w:contextualSpacing/>
        <w:rPr>
          <w:rFonts w:ascii="Times New Roman" w:eastAsiaTheme="minorHAnsi" w:hAnsi="Times New Roman"/>
          <w:sz w:val="28"/>
          <w:szCs w:val="28"/>
          <w:lang w:val="bg-BG" w:eastAsia="en-US"/>
        </w:rPr>
      </w:pPr>
      <w:r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- </w:t>
      </w:r>
      <w:r w:rsidR="00EA3C3D" w:rsidRPr="00EA3C3D">
        <w:rPr>
          <w:rFonts w:ascii="Times New Roman" w:eastAsiaTheme="minorHAnsi" w:hAnsi="Times New Roman"/>
          <w:i/>
          <w:sz w:val="28"/>
          <w:szCs w:val="28"/>
          <w:lang w:val="bg-BG" w:eastAsia="en-US"/>
        </w:rPr>
        <w:t xml:space="preserve">Направа на преградна стена от </w:t>
      </w:r>
      <w:proofErr w:type="spellStart"/>
      <w:r w:rsidR="00EA3C3D" w:rsidRPr="00EA3C3D">
        <w:rPr>
          <w:rFonts w:ascii="Times New Roman" w:eastAsiaTheme="minorHAnsi" w:hAnsi="Times New Roman"/>
          <w:i/>
          <w:sz w:val="28"/>
          <w:szCs w:val="28"/>
          <w:lang w:val="bg-BG" w:eastAsia="en-US"/>
        </w:rPr>
        <w:t>щендерна</w:t>
      </w:r>
      <w:proofErr w:type="spellEnd"/>
      <w:r w:rsidR="00EA3C3D" w:rsidRPr="00EA3C3D">
        <w:rPr>
          <w:rFonts w:ascii="Times New Roman" w:eastAsiaTheme="minorHAnsi" w:hAnsi="Times New Roman"/>
          <w:i/>
          <w:sz w:val="28"/>
          <w:szCs w:val="28"/>
          <w:lang w:val="bg-BG" w:eastAsia="en-US"/>
        </w:rPr>
        <w:t xml:space="preserve"> конструкция</w:t>
      </w:r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: конструкцията следва да се изпълни от два пласта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пожароустойчив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гипсокартон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с дебелина 12,5мм. монтиран двустранно на носещите профили и минерална вата 100 мм. 80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kg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/m3, монтирана между картоните. Всички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снадки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на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гипсокартонни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плоскости следва да са обработени по подходящ начин (да се ползват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гипсфазерни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или PVC ленти, да се обработи мястото на контактната фуга, като се прореже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каналче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, което да се запълни в последствие след монтажа на лентата чрез шпакловане с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шпакловъчна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гипсова маса и т.н.т.). По всички външни ъгли следва да се монтира алуминиев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ъглохранител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, а вътрешните ъгли да се обработят с </w:t>
      </w:r>
      <w:proofErr w:type="spellStart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акрилен</w:t>
      </w:r>
      <w:proofErr w:type="spellEnd"/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силикон.</w:t>
      </w:r>
    </w:p>
    <w:p w:rsidR="00EA3C3D" w:rsidRPr="00EA3C3D" w:rsidRDefault="00766036" w:rsidP="00766036">
      <w:pPr>
        <w:spacing w:after="200" w:line="276" w:lineRule="auto"/>
        <w:ind w:firstLine="720"/>
        <w:contextualSpacing/>
        <w:rPr>
          <w:rFonts w:ascii="Times New Roman" w:eastAsiaTheme="minorHAnsi" w:hAnsi="Times New Roman"/>
          <w:sz w:val="28"/>
          <w:szCs w:val="28"/>
          <w:lang w:val="bg-BG" w:eastAsia="en-US"/>
        </w:rPr>
      </w:pPr>
      <w:r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- </w:t>
      </w:r>
      <w:r w:rsidR="00EA3C3D" w:rsidRPr="00EA3C3D">
        <w:rPr>
          <w:rFonts w:ascii="Times New Roman" w:eastAsiaTheme="minorHAnsi" w:hAnsi="Times New Roman"/>
          <w:i/>
          <w:sz w:val="28"/>
          <w:szCs w:val="28"/>
          <w:lang w:val="bg-BG" w:eastAsia="en-US"/>
        </w:rPr>
        <w:t>Изхвърляне на строителни отпадъци и почистване след ремонта</w:t>
      </w:r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>:</w:t>
      </w:r>
      <w:r w:rsidR="00EA3C3D" w:rsidRPr="00EA3C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Изпълнителят следва да организира регулярно изхвърляне на строителния </w:t>
      </w:r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lastRenderedPageBreak/>
        <w:t xml:space="preserve">отпадък за своя сметка в т.ч. да го извози </w:t>
      </w:r>
      <w:r w:rsidR="00E4329F">
        <w:rPr>
          <w:rFonts w:ascii="Times New Roman" w:eastAsiaTheme="minorHAnsi" w:hAnsi="Times New Roman"/>
          <w:sz w:val="28"/>
          <w:szCs w:val="28"/>
          <w:lang w:val="bg-BG" w:eastAsia="en-US"/>
        </w:rPr>
        <w:t>до</w:t>
      </w:r>
      <w:r w:rsidR="00EA3C3D"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 отредените от общината сметища и след приключване на всички дейности - основно да почисти помещенията.</w:t>
      </w:r>
    </w:p>
    <w:p w:rsidR="00EA3C3D" w:rsidRDefault="00EA3C3D" w:rsidP="00EA3C3D">
      <w:pPr>
        <w:spacing w:after="200" w:line="276" w:lineRule="auto"/>
        <w:ind w:firstLine="72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3C3D">
        <w:rPr>
          <w:rFonts w:ascii="Times New Roman" w:eastAsiaTheme="minorHAnsi" w:hAnsi="Times New Roman"/>
          <w:sz w:val="28"/>
          <w:szCs w:val="28"/>
          <w:lang w:val="bg-BG" w:eastAsia="en-US"/>
        </w:rPr>
        <w:t xml:space="preserve">По време на изпълнението всички влагани материали ще се одобрят от Възложителя по представена от Изпълнителя мостра и технически документи. </w:t>
      </w:r>
    </w:p>
    <w:sectPr w:rsidR="00EA3C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96" w:rsidRDefault="00415696" w:rsidP="003844EA">
      <w:pPr>
        <w:spacing w:line="240" w:lineRule="auto"/>
      </w:pPr>
      <w:r>
        <w:separator/>
      </w:r>
    </w:p>
  </w:endnote>
  <w:endnote w:type="continuationSeparator" w:id="0">
    <w:p w:rsidR="00415696" w:rsidRDefault="00415696" w:rsidP="00384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1856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44EA" w:rsidRDefault="003844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1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44EA" w:rsidRDefault="003844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96" w:rsidRDefault="00415696" w:rsidP="003844EA">
      <w:pPr>
        <w:spacing w:line="240" w:lineRule="auto"/>
      </w:pPr>
      <w:r>
        <w:separator/>
      </w:r>
    </w:p>
  </w:footnote>
  <w:footnote w:type="continuationSeparator" w:id="0">
    <w:p w:rsidR="00415696" w:rsidRDefault="00415696" w:rsidP="003844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35F8C"/>
    <w:multiLevelType w:val="hybridMultilevel"/>
    <w:tmpl w:val="30F2FE64"/>
    <w:lvl w:ilvl="0" w:tplc="2F9CFB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8A79EE"/>
    <w:multiLevelType w:val="multilevel"/>
    <w:tmpl w:val="E118146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54"/>
    <w:rsid w:val="0006371B"/>
    <w:rsid w:val="00113331"/>
    <w:rsid w:val="00190B30"/>
    <w:rsid w:val="001A49DE"/>
    <w:rsid w:val="001B5B4C"/>
    <w:rsid w:val="002112E2"/>
    <w:rsid w:val="00211D52"/>
    <w:rsid w:val="00214191"/>
    <w:rsid w:val="002A147B"/>
    <w:rsid w:val="002B2286"/>
    <w:rsid w:val="002F4839"/>
    <w:rsid w:val="003073CD"/>
    <w:rsid w:val="003844EA"/>
    <w:rsid w:val="003B3D13"/>
    <w:rsid w:val="003D7740"/>
    <w:rsid w:val="004152E0"/>
    <w:rsid w:val="00415696"/>
    <w:rsid w:val="0042497D"/>
    <w:rsid w:val="00430047"/>
    <w:rsid w:val="004C317C"/>
    <w:rsid w:val="00513574"/>
    <w:rsid w:val="005455E5"/>
    <w:rsid w:val="0058092E"/>
    <w:rsid w:val="00656313"/>
    <w:rsid w:val="007544B5"/>
    <w:rsid w:val="00766036"/>
    <w:rsid w:val="007A3F8F"/>
    <w:rsid w:val="007A6748"/>
    <w:rsid w:val="007D3B54"/>
    <w:rsid w:val="007F5C15"/>
    <w:rsid w:val="007F656F"/>
    <w:rsid w:val="00843DE0"/>
    <w:rsid w:val="0089241D"/>
    <w:rsid w:val="008D3014"/>
    <w:rsid w:val="00911C49"/>
    <w:rsid w:val="00926E8E"/>
    <w:rsid w:val="00A73D49"/>
    <w:rsid w:val="00AE6D00"/>
    <w:rsid w:val="00B93D31"/>
    <w:rsid w:val="00C75878"/>
    <w:rsid w:val="00C761BA"/>
    <w:rsid w:val="00D81FA2"/>
    <w:rsid w:val="00DB38C8"/>
    <w:rsid w:val="00DB6216"/>
    <w:rsid w:val="00E4329F"/>
    <w:rsid w:val="00E726C0"/>
    <w:rsid w:val="00EA3C3D"/>
    <w:rsid w:val="00F326BD"/>
    <w:rsid w:val="00FD0A8C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3D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EA3C3D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8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39"/>
    <w:rPr>
      <w:rFonts w:ascii="Tahoma" w:eastAsia="Times New Roman" w:hAnsi="Tahoma" w:cs="Tahoma"/>
      <w:sz w:val="16"/>
      <w:szCs w:val="16"/>
      <w:lang w:val="en-US" w:eastAsia="bg-BG"/>
    </w:rPr>
  </w:style>
  <w:style w:type="paragraph" w:customStyle="1" w:styleId="CharChar0">
    <w:name w:val="Знак Знак Char Char"/>
    <w:basedOn w:val="Normal"/>
    <w:rsid w:val="004152E0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3844E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4EA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3844E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4EA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3D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EA3C3D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8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39"/>
    <w:rPr>
      <w:rFonts w:ascii="Tahoma" w:eastAsia="Times New Roman" w:hAnsi="Tahoma" w:cs="Tahoma"/>
      <w:sz w:val="16"/>
      <w:szCs w:val="16"/>
      <w:lang w:val="en-US" w:eastAsia="bg-BG"/>
    </w:rPr>
  </w:style>
  <w:style w:type="paragraph" w:customStyle="1" w:styleId="CharChar0">
    <w:name w:val="Знак Знак Char Char"/>
    <w:basedOn w:val="Normal"/>
    <w:rsid w:val="004152E0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3844E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4EA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3844E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4EA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26</cp:revision>
  <cp:lastPrinted>2015-06-05T12:31:00Z</cp:lastPrinted>
  <dcterms:created xsi:type="dcterms:W3CDTF">2015-05-08T09:39:00Z</dcterms:created>
  <dcterms:modified xsi:type="dcterms:W3CDTF">2015-06-05T12:34:00Z</dcterms:modified>
</cp:coreProperties>
</file>